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BC74CB">
              <w:rPr>
                <w:b/>
                <w:sz w:val="20"/>
                <w:szCs w:val="20"/>
              </w:rPr>
              <w:t>(</w:t>
            </w:r>
            <w:r w:rsidR="006F3533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UA-2024-04-22-010810</w:t>
            </w:r>
            <w:r w:rsidR="00AE3D7C" w:rsidRPr="00BC74CB">
              <w:rPr>
                <w:b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Pr="00BC74CB">
              <w:rPr>
                <w:b/>
                <w:sz w:val="20"/>
                <w:szCs w:val="20"/>
              </w:rPr>
              <w:t>)</w:t>
            </w:r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Pr="00E026E9" w:rsidRDefault="00E026E9" w:rsidP="00143F7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E026E9">
              <w:rPr>
                <w:spacing w:val="-3"/>
                <w:sz w:val="20"/>
                <w:szCs w:val="20"/>
              </w:rPr>
              <w:t xml:space="preserve">«Будівництво свердловини з водорозбірною  колонкою в </w:t>
            </w:r>
            <w:r w:rsidR="00143F70">
              <w:rPr>
                <w:spacing w:val="-3"/>
                <w:sz w:val="20"/>
                <w:szCs w:val="20"/>
              </w:rPr>
              <w:t xml:space="preserve">           </w:t>
            </w:r>
            <w:r w:rsidR="00D72633">
              <w:rPr>
                <w:spacing w:val="-3"/>
                <w:sz w:val="20"/>
                <w:szCs w:val="20"/>
              </w:rPr>
              <w:t xml:space="preserve"> с.Кувечичі</w:t>
            </w:r>
            <w:r w:rsidRPr="00E026E9">
              <w:rPr>
                <w:spacing w:val="-3"/>
                <w:sz w:val="20"/>
                <w:szCs w:val="20"/>
              </w:rPr>
              <w:t xml:space="preserve"> </w:t>
            </w:r>
            <w:r w:rsidR="00AB5647">
              <w:rPr>
                <w:spacing w:val="-3"/>
                <w:sz w:val="20"/>
                <w:szCs w:val="20"/>
              </w:rPr>
              <w:t>Чернігівського</w:t>
            </w:r>
            <w:r w:rsidRPr="00E026E9">
              <w:rPr>
                <w:spacing w:val="-3"/>
                <w:sz w:val="20"/>
                <w:szCs w:val="20"/>
              </w:rPr>
              <w:t xml:space="preserve"> району Чернігівської області»</w:t>
            </w:r>
            <w:r w:rsidRPr="00E026E9">
              <w:rPr>
                <w:sz w:val="20"/>
                <w:szCs w:val="20"/>
              </w:rPr>
              <w:t xml:space="preserve"> (Код ДК 021:2015: 45300000-0 — Будівельно-монтажні роботи)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D72633" w:rsidRPr="00D72633" w:rsidRDefault="00D72633" w:rsidP="00D72633">
            <w:pPr>
              <w:jc w:val="both"/>
              <w:rPr>
                <w:sz w:val="20"/>
                <w:szCs w:val="20"/>
              </w:rPr>
            </w:pPr>
            <w:r w:rsidRPr="00D72633">
              <w:rPr>
                <w:sz w:val="20"/>
                <w:szCs w:val="20"/>
              </w:rPr>
              <w:t>Технічні та якісні характеристики предмета закупівлі складені  відповідно до потреби Департаменту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="006F3533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D72633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Робочий </w:t>
            </w:r>
            <w:proofErr w:type="spellStart"/>
            <w:r w:rsidRPr="00D72633">
              <w:rPr>
                <w:sz w:val="20"/>
                <w:szCs w:val="20"/>
              </w:rPr>
              <w:t>проєкт</w:t>
            </w:r>
            <w:proofErr w:type="spellEnd"/>
            <w:r w:rsidRPr="00D72633">
              <w:rPr>
                <w:sz w:val="20"/>
                <w:szCs w:val="20"/>
              </w:rPr>
              <w:t xml:space="preserve"> на Будівництво свердловини з во</w:t>
            </w:r>
            <w:r>
              <w:rPr>
                <w:sz w:val="20"/>
                <w:szCs w:val="20"/>
              </w:rPr>
              <w:t xml:space="preserve">дорозбірною  колонкою в </w:t>
            </w:r>
            <w:proofErr w:type="spellStart"/>
            <w:r>
              <w:rPr>
                <w:sz w:val="20"/>
                <w:szCs w:val="20"/>
              </w:rPr>
              <w:t>с.Кувечичі</w:t>
            </w:r>
            <w:proofErr w:type="spellEnd"/>
            <w:r w:rsidRPr="00D72633">
              <w:rPr>
                <w:sz w:val="20"/>
                <w:szCs w:val="20"/>
              </w:rPr>
              <w:t xml:space="preserve"> Чернігівського району Чернігівської області розроблений на підставі: </w:t>
            </w:r>
          </w:p>
          <w:p w:rsidR="00F66D4A" w:rsidRDefault="00D72633" w:rsidP="00D72633">
            <w:pPr>
              <w:jc w:val="both"/>
              <w:rPr>
                <w:sz w:val="20"/>
                <w:szCs w:val="20"/>
              </w:rPr>
            </w:pPr>
            <w:r w:rsidRPr="00D72633">
              <w:rPr>
                <w:sz w:val="20"/>
                <w:szCs w:val="20"/>
              </w:rPr>
              <w:t xml:space="preserve">— на замовлення </w:t>
            </w:r>
            <w:proofErr w:type="spellStart"/>
            <w:r w:rsidRPr="00D72633">
              <w:rPr>
                <w:sz w:val="20"/>
                <w:szCs w:val="20"/>
              </w:rPr>
              <w:t>Новобілоуської</w:t>
            </w:r>
            <w:proofErr w:type="spellEnd"/>
            <w:r w:rsidRPr="00D72633">
              <w:rPr>
                <w:sz w:val="20"/>
                <w:szCs w:val="20"/>
              </w:rPr>
              <w:t xml:space="preserve"> сільської  ради проектно-кошторисної документації по об’єкту Будівництво свердловини з водорозбірною  колонкою в с. </w:t>
            </w:r>
            <w:proofErr w:type="spellStart"/>
            <w:r w:rsidRPr="00D72633">
              <w:rPr>
                <w:sz w:val="20"/>
                <w:szCs w:val="20"/>
              </w:rPr>
              <w:t>Кувечичі</w:t>
            </w:r>
            <w:proofErr w:type="spellEnd"/>
            <w:r w:rsidRPr="00D72633">
              <w:rPr>
                <w:sz w:val="20"/>
                <w:szCs w:val="20"/>
              </w:rPr>
              <w:t xml:space="preserve"> Чернігівського  району Чернігівської області (Код ДК 021:2015: 45300000-0 — Будівельно-монтажні роботи), Рішенням виконавчого комітету </w:t>
            </w:r>
            <w:proofErr w:type="spellStart"/>
            <w:r w:rsidRPr="00D72633">
              <w:rPr>
                <w:sz w:val="20"/>
                <w:szCs w:val="20"/>
              </w:rPr>
              <w:t>Новобілоуської</w:t>
            </w:r>
            <w:proofErr w:type="spellEnd"/>
            <w:r w:rsidRPr="00D72633">
              <w:rPr>
                <w:sz w:val="20"/>
                <w:szCs w:val="20"/>
              </w:rPr>
              <w:t xml:space="preserve"> сільської ради № 366 від 01 лютого 2024 року «Про передачу проектно-кошторисної документації»,  проектно-кошторисну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адміністрації. Проектно-кошторисною документацією передбачено виконання робіт з будівництва в повному обсязі, а саме: буріння випереджувальної  свердловини, буріння експлуатаційної  свердловини,  вентиляція насосної станції, герметизація оголовка, компонування технологічного обладнання, влаштування водорозбірної колонки, електротехнічні рішення, буріння насосної станції, влаштування огорожі, улаштування під’їзної дороги та </w:t>
            </w:r>
            <w:proofErr w:type="spellStart"/>
            <w:r w:rsidRPr="00D72633">
              <w:rPr>
                <w:sz w:val="20"/>
                <w:szCs w:val="20"/>
              </w:rPr>
              <w:t>розворотного</w:t>
            </w:r>
            <w:proofErr w:type="spellEnd"/>
            <w:r w:rsidRPr="00D72633">
              <w:rPr>
                <w:sz w:val="20"/>
                <w:szCs w:val="20"/>
              </w:rPr>
              <w:t xml:space="preserve"> майданчика, влаштування покриття тротуарної доріжки. 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D72633" w:rsidP="008D333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72633"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 та затвердженого Експертного звіту №23/077ЗЕ-10/23 від 23 жовтня 2023 року реєстраційний номер ЕХ01:9835-9179-9272-4114 щодо розгляду проектної документації за робочим проектом Будівництво свердловини з водорозбірною  колонкою в </w:t>
            </w:r>
            <w:proofErr w:type="spellStart"/>
            <w:r w:rsidRPr="00D72633">
              <w:rPr>
                <w:sz w:val="20"/>
                <w:szCs w:val="20"/>
              </w:rPr>
              <w:t>с.Кувечичі</w:t>
            </w:r>
            <w:proofErr w:type="spellEnd"/>
            <w:r w:rsidRPr="00D72633">
              <w:rPr>
                <w:sz w:val="20"/>
                <w:szCs w:val="20"/>
              </w:rPr>
              <w:t xml:space="preserve"> Чернігівського району Чернігівської області. Експертиза проведена ТОВ «ЕКОЕКСПЕРТИЗА» м. Стрий. Львівська обл.</w:t>
            </w:r>
          </w:p>
        </w:tc>
      </w:tr>
      <w:tr w:rsidR="00234FEB">
        <w:trPr>
          <w:cantSplit/>
          <w:tblHeader/>
        </w:trPr>
        <w:tc>
          <w:tcPr>
            <w:tcW w:w="421" w:type="dxa"/>
            <w:shd w:val="clear" w:color="auto" w:fill="auto"/>
          </w:tcPr>
          <w:p w:rsidR="00234FEB" w:rsidRDefault="00234FE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234FEB" w:rsidRDefault="00234FEB">
            <w:pPr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234FEB" w:rsidRPr="00D07CA8" w:rsidRDefault="00234FEB" w:rsidP="00234F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143F70"/>
    <w:rsid w:val="001965F5"/>
    <w:rsid w:val="00234FEB"/>
    <w:rsid w:val="0028188D"/>
    <w:rsid w:val="00294DC8"/>
    <w:rsid w:val="00345BC8"/>
    <w:rsid w:val="00380E1F"/>
    <w:rsid w:val="004029D4"/>
    <w:rsid w:val="00403C9A"/>
    <w:rsid w:val="00474F9B"/>
    <w:rsid w:val="00477067"/>
    <w:rsid w:val="0050618F"/>
    <w:rsid w:val="005275D3"/>
    <w:rsid w:val="00553945"/>
    <w:rsid w:val="00582C3C"/>
    <w:rsid w:val="00630012"/>
    <w:rsid w:val="00654A43"/>
    <w:rsid w:val="006F3533"/>
    <w:rsid w:val="008B3C1D"/>
    <w:rsid w:val="008D333D"/>
    <w:rsid w:val="009A7430"/>
    <w:rsid w:val="009C392D"/>
    <w:rsid w:val="009E7E1F"/>
    <w:rsid w:val="00A15E1D"/>
    <w:rsid w:val="00A575C3"/>
    <w:rsid w:val="00AB5647"/>
    <w:rsid w:val="00AE3D7C"/>
    <w:rsid w:val="00AE711E"/>
    <w:rsid w:val="00B57B1C"/>
    <w:rsid w:val="00B61AD3"/>
    <w:rsid w:val="00BC74CB"/>
    <w:rsid w:val="00C458F5"/>
    <w:rsid w:val="00CB23E2"/>
    <w:rsid w:val="00CE6432"/>
    <w:rsid w:val="00D063A3"/>
    <w:rsid w:val="00D07CA8"/>
    <w:rsid w:val="00D67C5E"/>
    <w:rsid w:val="00D72633"/>
    <w:rsid w:val="00E026E9"/>
    <w:rsid w:val="00F01909"/>
    <w:rsid w:val="00F66D4A"/>
    <w:rsid w:val="00F91336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A52"/>
  <w15:docId w15:val="{1950F6F4-9E50-4899-8668-09B367C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9D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0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8</cp:revision>
  <cp:lastPrinted>2024-04-23T05:22:00Z</cp:lastPrinted>
  <dcterms:created xsi:type="dcterms:W3CDTF">2024-04-08T12:58:00Z</dcterms:created>
  <dcterms:modified xsi:type="dcterms:W3CDTF">2024-04-23T05:22:00Z</dcterms:modified>
</cp:coreProperties>
</file>